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Ind w:w="-34" w:type="dxa"/>
        <w:tblLayout w:type="fixed"/>
        <w:tblLook w:val="0000" w:firstRow="0" w:lastRow="0" w:firstColumn="0" w:lastColumn="0" w:noHBand="0" w:noVBand="0"/>
      </w:tblPr>
      <w:tblGrid>
        <w:gridCol w:w="34"/>
        <w:gridCol w:w="963"/>
        <w:gridCol w:w="6091"/>
        <w:gridCol w:w="1701"/>
      </w:tblGrid>
      <w:tr w:rsidR="00B70E91" w14:paraId="1F0C39D2" w14:textId="77777777" w:rsidTr="0023648F">
        <w:tc>
          <w:tcPr>
            <w:tcW w:w="997" w:type="dxa"/>
            <w:gridSpan w:val="2"/>
          </w:tcPr>
          <w:p w14:paraId="4990A7D6" w14:textId="77777777" w:rsidR="00B70E91" w:rsidRDefault="00B70E91" w:rsidP="0023648F">
            <w:pPr>
              <w:spacing w:before="0" w:after="0"/>
              <w:rPr>
                <w:rFonts w:ascii="Arial Mäori" w:hAnsi="Arial Mäori"/>
                <w:b/>
                <w:sz w:val="22"/>
                <w:u w:val="single"/>
              </w:rPr>
            </w:pPr>
            <w:bookmarkStart w:id="0" w:name="_GoBack"/>
            <w:bookmarkEnd w:id="0"/>
          </w:p>
        </w:tc>
        <w:tc>
          <w:tcPr>
            <w:tcW w:w="6091" w:type="dxa"/>
          </w:tcPr>
          <w:p w14:paraId="4D83A45E" w14:textId="77777777" w:rsidR="00B70E91" w:rsidRPr="005B71F9" w:rsidRDefault="00B70E91" w:rsidP="0023648F">
            <w:pPr>
              <w:pStyle w:val="Heading7"/>
              <w:rPr>
                <w:u w:val="single"/>
              </w:rPr>
            </w:pPr>
            <w:r w:rsidRPr="005B71F9">
              <w:rPr>
                <w:u w:val="single"/>
              </w:rPr>
              <w:t>CANON VII</w:t>
            </w:r>
          </w:p>
          <w:p w14:paraId="4E458C01" w14:textId="77777777" w:rsidR="00B70E91" w:rsidRDefault="00B70E91" w:rsidP="0023648F">
            <w:pPr>
              <w:pStyle w:val="Heading5"/>
              <w:rPr>
                <w:u w:val="single"/>
              </w:rPr>
            </w:pPr>
            <w:r w:rsidRPr="005B71F9">
              <w:rPr>
                <w:sz w:val="24"/>
                <w:u w:val="single"/>
              </w:rPr>
              <w:t>OF THE CHURCH LANDS TRIBUNAL</w:t>
            </w:r>
          </w:p>
        </w:tc>
        <w:tc>
          <w:tcPr>
            <w:tcW w:w="1701" w:type="dxa"/>
          </w:tcPr>
          <w:p w14:paraId="5D18E4BE" w14:textId="77777777" w:rsidR="00B70E91" w:rsidRDefault="00B70E91" w:rsidP="0023648F">
            <w:pPr>
              <w:spacing w:before="0" w:after="0"/>
              <w:rPr>
                <w:rFonts w:ascii="Arial Mäori" w:hAnsi="Arial Mäori"/>
                <w:b/>
                <w:i/>
                <w:sz w:val="18"/>
                <w:u w:val="single"/>
              </w:rPr>
            </w:pPr>
          </w:p>
        </w:tc>
      </w:tr>
      <w:tr w:rsidR="00B70E91" w14:paraId="2B37C649" w14:textId="77777777" w:rsidTr="0023648F">
        <w:trPr>
          <w:gridBefore w:val="1"/>
          <w:wBefore w:w="34" w:type="dxa"/>
        </w:trPr>
        <w:tc>
          <w:tcPr>
            <w:tcW w:w="963" w:type="dxa"/>
          </w:tcPr>
          <w:p w14:paraId="3312FD3D" w14:textId="77777777" w:rsidR="00B70E91" w:rsidRDefault="00B70E91" w:rsidP="0023648F">
            <w:pPr>
              <w:spacing w:before="0" w:after="0"/>
              <w:rPr>
                <w:rFonts w:ascii="Arial Mäori" w:hAnsi="Arial Mäori"/>
                <w:b/>
                <w:sz w:val="22"/>
                <w:u w:val="single"/>
              </w:rPr>
            </w:pPr>
            <w:r>
              <w:rPr>
                <w:rFonts w:ascii="Arial Mäori" w:hAnsi="Arial Mäori"/>
                <w:spacing w:val="-3"/>
                <w:sz w:val="22"/>
                <w:lang w:val="en-US"/>
              </w:rPr>
              <w:t>1.     </w:t>
            </w:r>
          </w:p>
        </w:tc>
        <w:tc>
          <w:tcPr>
            <w:tcW w:w="6091" w:type="dxa"/>
          </w:tcPr>
          <w:p w14:paraId="7A89DFBA" w14:textId="77777777" w:rsidR="00B70E91" w:rsidRDefault="00B70E91" w:rsidP="0023648F">
            <w:pPr>
              <w:tabs>
                <w:tab w:val="left" w:pos="-720"/>
                <w:tab w:val="left" w:pos="0"/>
              </w:tabs>
              <w:suppressAutoHyphens/>
              <w:spacing w:before="0"/>
              <w:rPr>
                <w:rFonts w:ascii="Arial Mäori" w:hAnsi="Arial Mäori"/>
                <w:sz w:val="22"/>
                <w:u w:val="single"/>
                <w:lang w:val="en-US"/>
              </w:rPr>
            </w:pPr>
            <w:r>
              <w:rPr>
                <w:rFonts w:ascii="Arial Mäori" w:hAnsi="Arial Mäori"/>
                <w:spacing w:val="-3"/>
                <w:sz w:val="22"/>
                <w:lang w:val="en-US"/>
              </w:rPr>
              <w:t>There is hereby established a tribunal to be known as the Church Lands Tribunal (hereafter in this Canon called "the Tribunal").</w:t>
            </w:r>
          </w:p>
        </w:tc>
        <w:tc>
          <w:tcPr>
            <w:tcW w:w="1701" w:type="dxa"/>
          </w:tcPr>
          <w:p w14:paraId="1658E938"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Tribunal</w:t>
            </w:r>
          </w:p>
          <w:p w14:paraId="6BF7CC8D" w14:textId="77777777" w:rsidR="00B70E91" w:rsidRDefault="00B70E91" w:rsidP="0023648F">
            <w:pPr>
              <w:tabs>
                <w:tab w:val="left" w:pos="-720"/>
              </w:tabs>
              <w:suppressAutoHyphens/>
              <w:spacing w:before="0" w:after="0"/>
              <w:rPr>
                <w:rFonts w:ascii="Arial Mäori" w:hAnsi="Arial Mäori"/>
                <w:i/>
                <w:spacing w:val="-2"/>
                <w:sz w:val="18"/>
                <w:lang w:val="en-US"/>
              </w:rPr>
            </w:pPr>
            <w:proofErr w:type="gramStart"/>
            <w:r>
              <w:rPr>
                <w:rFonts w:ascii="Arial Mäori" w:hAnsi="Arial Mäori"/>
                <w:i/>
                <w:spacing w:val="-2"/>
                <w:sz w:val="18"/>
                <w:lang w:val="en-US"/>
              </w:rPr>
              <w:t>established</w:t>
            </w:r>
            <w:proofErr w:type="gramEnd"/>
            <w:r>
              <w:rPr>
                <w:rFonts w:ascii="Arial Mäori" w:hAnsi="Arial Mäori"/>
                <w:i/>
                <w:spacing w:val="-2"/>
                <w:sz w:val="18"/>
                <w:lang w:val="en-US"/>
              </w:rPr>
              <w:t>.</w:t>
            </w:r>
          </w:p>
          <w:p w14:paraId="1C6F3ACE"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1988.</w:t>
            </w:r>
          </w:p>
          <w:p w14:paraId="722FB4CB" w14:textId="77777777" w:rsidR="00B70E91" w:rsidRDefault="00B70E91" w:rsidP="0023648F">
            <w:pPr>
              <w:spacing w:before="0" w:after="0"/>
              <w:rPr>
                <w:rFonts w:ascii="Arial Mäori" w:hAnsi="Arial Mäori"/>
                <w:b/>
                <w:i/>
                <w:sz w:val="18"/>
                <w:u w:val="single"/>
              </w:rPr>
            </w:pPr>
          </w:p>
        </w:tc>
      </w:tr>
      <w:tr w:rsidR="00B70E91" w14:paraId="75D278DC" w14:textId="77777777" w:rsidTr="0023648F">
        <w:trPr>
          <w:gridBefore w:val="1"/>
          <w:wBefore w:w="34" w:type="dxa"/>
        </w:trPr>
        <w:tc>
          <w:tcPr>
            <w:tcW w:w="963" w:type="dxa"/>
          </w:tcPr>
          <w:p w14:paraId="15BE9FC9"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2.     </w:t>
            </w:r>
          </w:p>
        </w:tc>
        <w:tc>
          <w:tcPr>
            <w:tcW w:w="6091" w:type="dxa"/>
          </w:tcPr>
          <w:p w14:paraId="4D049D83"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 xml:space="preserve">The powers and functions of the Tribunal shall be those otherwise exercisable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under the provisions of Subsection 2 of Section 16A of the Anglican Church Trusts Act 1981 and so long as this Canon remains in force shall be exercised exclusively by the Tribunal whose decision shall be final.</w:t>
            </w:r>
          </w:p>
        </w:tc>
        <w:tc>
          <w:tcPr>
            <w:tcW w:w="1701" w:type="dxa"/>
          </w:tcPr>
          <w:p w14:paraId="451B8CF9"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Powers and</w:t>
            </w:r>
          </w:p>
          <w:p w14:paraId="4CFBF2E4" w14:textId="77777777" w:rsidR="00B70E91" w:rsidRDefault="00B70E91" w:rsidP="0023648F">
            <w:pPr>
              <w:tabs>
                <w:tab w:val="left" w:pos="-720"/>
              </w:tabs>
              <w:suppressAutoHyphens/>
              <w:spacing w:before="0" w:after="0"/>
              <w:rPr>
                <w:rFonts w:ascii="Arial Mäori" w:hAnsi="Arial Mäori"/>
                <w:i/>
                <w:spacing w:val="-2"/>
                <w:sz w:val="18"/>
                <w:lang w:val="en-US"/>
              </w:rPr>
            </w:pPr>
            <w:proofErr w:type="gramStart"/>
            <w:r>
              <w:rPr>
                <w:rFonts w:ascii="Arial Mäori" w:hAnsi="Arial Mäori"/>
                <w:i/>
                <w:spacing w:val="-2"/>
                <w:sz w:val="18"/>
                <w:lang w:val="en-US"/>
              </w:rPr>
              <w:t>functions</w:t>
            </w:r>
            <w:proofErr w:type="gramEnd"/>
            <w:r>
              <w:rPr>
                <w:rFonts w:ascii="Arial Mäori" w:hAnsi="Arial Mäori"/>
                <w:i/>
                <w:spacing w:val="-2"/>
                <w:sz w:val="18"/>
                <w:lang w:val="en-US"/>
              </w:rPr>
              <w:t>.</w:t>
            </w:r>
          </w:p>
          <w:p w14:paraId="78A1E4C6" w14:textId="77777777" w:rsidR="00B70E91" w:rsidRDefault="00B70E91" w:rsidP="0023648F">
            <w:pPr>
              <w:spacing w:before="0" w:after="0"/>
              <w:rPr>
                <w:rFonts w:ascii="Arial Mäori" w:hAnsi="Arial Mäori"/>
                <w:b/>
                <w:i/>
                <w:sz w:val="18"/>
                <w:u w:val="single"/>
              </w:rPr>
            </w:pPr>
          </w:p>
        </w:tc>
      </w:tr>
      <w:tr w:rsidR="00B70E91" w14:paraId="53B7B9C4" w14:textId="77777777" w:rsidTr="0023648F">
        <w:trPr>
          <w:gridBefore w:val="1"/>
          <w:wBefore w:w="34" w:type="dxa"/>
        </w:trPr>
        <w:tc>
          <w:tcPr>
            <w:tcW w:w="963" w:type="dxa"/>
          </w:tcPr>
          <w:p w14:paraId="267396B8"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3.     </w:t>
            </w:r>
          </w:p>
        </w:tc>
        <w:tc>
          <w:tcPr>
            <w:tcW w:w="6091" w:type="dxa"/>
          </w:tcPr>
          <w:p w14:paraId="3B69E1FE"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The Tribunal shall consist of six members, three of whom shall be appointed by the Inter Diocesan Conference Co-</w:t>
            </w:r>
            <w:proofErr w:type="spellStart"/>
            <w:r>
              <w:rPr>
                <w:rFonts w:ascii="Arial Mäori" w:hAnsi="Arial Mäori"/>
                <w:spacing w:val="-3"/>
                <w:sz w:val="22"/>
                <w:lang w:val="en-US"/>
              </w:rPr>
              <w:t>ordinating</w:t>
            </w:r>
            <w:proofErr w:type="spellEnd"/>
            <w:r>
              <w:rPr>
                <w:rFonts w:ascii="Arial Mäori" w:hAnsi="Arial Mäori"/>
                <w:spacing w:val="-3"/>
                <w:sz w:val="22"/>
                <w:lang w:val="en-US"/>
              </w:rPr>
              <w:t xml:space="preserve"> Group and three by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cs="Arial"/>
                <w:spacing w:val="-3"/>
                <w:sz w:val="22"/>
                <w:lang w:val="en-US"/>
              </w:rPr>
              <w:t>ā</w:t>
            </w:r>
            <w:r>
              <w:rPr>
                <w:rFonts w:ascii="Arial Mäori" w:hAnsi="Arial Mäori"/>
                <w:spacing w:val="-3"/>
                <w:sz w:val="22"/>
                <w:lang w:val="en-US"/>
              </w:rPr>
              <w:t>iti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w:t>
            </w:r>
            <w:r>
              <w:rPr>
                <w:rFonts w:cs="Arial"/>
                <w:spacing w:val="-3"/>
                <w:sz w:val="22"/>
                <w:lang w:val="en-US"/>
              </w:rPr>
              <w:t>ī</w:t>
            </w:r>
            <w:r>
              <w:rPr>
                <w:rFonts w:ascii="Arial Mäori" w:hAnsi="Arial Mäori"/>
                <w:spacing w:val="-3"/>
                <w:sz w:val="22"/>
                <w:lang w:val="en-US"/>
              </w:rPr>
              <w:t>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w:t>
            </w:r>
          </w:p>
        </w:tc>
        <w:tc>
          <w:tcPr>
            <w:tcW w:w="1701" w:type="dxa"/>
          </w:tcPr>
          <w:p w14:paraId="680F9C3F"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Membership</w:t>
            </w:r>
          </w:p>
          <w:p w14:paraId="39EA07F6" w14:textId="77777777" w:rsidR="00B70E91" w:rsidRDefault="00B70E91" w:rsidP="0023648F">
            <w:pPr>
              <w:tabs>
                <w:tab w:val="left" w:pos="-720"/>
              </w:tabs>
              <w:suppressAutoHyphens/>
              <w:spacing w:before="0" w:after="0"/>
              <w:rPr>
                <w:rFonts w:ascii="Arial Mäori" w:hAnsi="Arial Mäori"/>
                <w:i/>
                <w:spacing w:val="-2"/>
                <w:sz w:val="18"/>
                <w:lang w:val="en-US"/>
              </w:rPr>
            </w:pPr>
            <w:proofErr w:type="gramStart"/>
            <w:r>
              <w:rPr>
                <w:rFonts w:ascii="Arial Mäori" w:hAnsi="Arial Mäori"/>
                <w:i/>
                <w:spacing w:val="-2"/>
                <w:sz w:val="18"/>
                <w:lang w:val="en-US"/>
              </w:rPr>
              <w:t>of</w:t>
            </w:r>
            <w:proofErr w:type="gramEnd"/>
            <w:r>
              <w:rPr>
                <w:rFonts w:ascii="Arial Mäori" w:hAnsi="Arial Mäori"/>
                <w:i/>
                <w:spacing w:val="-2"/>
                <w:sz w:val="18"/>
                <w:lang w:val="en-US"/>
              </w:rPr>
              <w:t xml:space="preserve"> Tribunal. 1996</w:t>
            </w:r>
          </w:p>
          <w:p w14:paraId="6240317F" w14:textId="77777777" w:rsidR="00B70E91" w:rsidRDefault="00B70E91" w:rsidP="0023648F">
            <w:pPr>
              <w:spacing w:before="0" w:after="0"/>
              <w:rPr>
                <w:rFonts w:ascii="Arial Mäori" w:hAnsi="Arial Mäori"/>
                <w:b/>
                <w:i/>
                <w:sz w:val="18"/>
                <w:u w:val="single"/>
              </w:rPr>
            </w:pPr>
          </w:p>
        </w:tc>
      </w:tr>
      <w:tr w:rsidR="00B70E91" w14:paraId="727C54E6" w14:textId="77777777" w:rsidTr="0023648F">
        <w:trPr>
          <w:gridBefore w:val="1"/>
          <w:wBefore w:w="34" w:type="dxa"/>
        </w:trPr>
        <w:tc>
          <w:tcPr>
            <w:tcW w:w="963" w:type="dxa"/>
          </w:tcPr>
          <w:p w14:paraId="4A5E6BDE"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4.     </w:t>
            </w:r>
          </w:p>
        </w:tc>
        <w:tc>
          <w:tcPr>
            <w:tcW w:w="6091" w:type="dxa"/>
          </w:tcPr>
          <w:p w14:paraId="235D116C"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A member may resign at any time and may be removed at any time by the body which appointed that member provided that no removal of a member shall take effect until the disposal of all inquiries before the Tribunal in respect of which that member has already participated.</w:t>
            </w:r>
          </w:p>
        </w:tc>
        <w:tc>
          <w:tcPr>
            <w:tcW w:w="1701" w:type="dxa"/>
          </w:tcPr>
          <w:p w14:paraId="447213AE"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Resignation</w:t>
            </w:r>
          </w:p>
          <w:p w14:paraId="6769E3EF" w14:textId="77777777" w:rsidR="00B70E91" w:rsidRDefault="00B70E91" w:rsidP="0023648F">
            <w:pPr>
              <w:tabs>
                <w:tab w:val="left" w:pos="-720"/>
              </w:tabs>
              <w:suppressAutoHyphens/>
              <w:spacing w:before="0" w:after="0"/>
              <w:rPr>
                <w:rFonts w:ascii="Arial Mäori" w:hAnsi="Arial Mäori"/>
                <w:i/>
                <w:spacing w:val="-2"/>
                <w:sz w:val="18"/>
                <w:lang w:val="en-US"/>
              </w:rPr>
            </w:pPr>
            <w:proofErr w:type="gramStart"/>
            <w:r>
              <w:rPr>
                <w:rFonts w:ascii="Arial Mäori" w:hAnsi="Arial Mäori"/>
                <w:i/>
                <w:spacing w:val="-2"/>
                <w:sz w:val="18"/>
                <w:lang w:val="en-US"/>
              </w:rPr>
              <w:t>and</w:t>
            </w:r>
            <w:proofErr w:type="gramEnd"/>
            <w:r>
              <w:rPr>
                <w:rFonts w:ascii="Arial Mäori" w:hAnsi="Arial Mäori"/>
                <w:i/>
                <w:spacing w:val="-2"/>
                <w:sz w:val="18"/>
                <w:lang w:val="en-US"/>
              </w:rPr>
              <w:t xml:space="preserve"> removal.</w:t>
            </w:r>
          </w:p>
          <w:p w14:paraId="645A2CFA" w14:textId="77777777" w:rsidR="00B70E91" w:rsidRDefault="00B70E91" w:rsidP="0023648F">
            <w:pPr>
              <w:spacing w:before="0" w:after="0"/>
              <w:rPr>
                <w:rFonts w:ascii="Arial Mäori" w:hAnsi="Arial Mäori"/>
                <w:b/>
                <w:i/>
                <w:sz w:val="18"/>
                <w:u w:val="single"/>
              </w:rPr>
            </w:pPr>
          </w:p>
        </w:tc>
      </w:tr>
      <w:tr w:rsidR="00B70E91" w14:paraId="4289C92C" w14:textId="77777777" w:rsidTr="0023648F">
        <w:trPr>
          <w:gridBefore w:val="1"/>
          <w:wBefore w:w="34" w:type="dxa"/>
        </w:trPr>
        <w:tc>
          <w:tcPr>
            <w:tcW w:w="963" w:type="dxa"/>
          </w:tcPr>
          <w:p w14:paraId="26D1F2D8"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5.     </w:t>
            </w:r>
          </w:p>
        </w:tc>
        <w:tc>
          <w:tcPr>
            <w:tcW w:w="6091" w:type="dxa"/>
          </w:tcPr>
          <w:p w14:paraId="5F5E0289"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The Tribunal may appoint a secretary but in default of any appointment the General Secretary shall be the Secretary of the Tribunal.</w:t>
            </w:r>
          </w:p>
        </w:tc>
        <w:tc>
          <w:tcPr>
            <w:tcW w:w="1701" w:type="dxa"/>
          </w:tcPr>
          <w:p w14:paraId="34943935"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Secretary.</w:t>
            </w:r>
          </w:p>
          <w:p w14:paraId="35636E43" w14:textId="77777777" w:rsidR="00B70E91" w:rsidRDefault="00B70E91" w:rsidP="0023648F">
            <w:pPr>
              <w:spacing w:before="0" w:after="0"/>
              <w:rPr>
                <w:rFonts w:ascii="Arial Mäori" w:hAnsi="Arial Mäori"/>
                <w:b/>
                <w:i/>
                <w:sz w:val="18"/>
                <w:u w:val="single"/>
              </w:rPr>
            </w:pPr>
          </w:p>
        </w:tc>
      </w:tr>
      <w:tr w:rsidR="00B70E91" w14:paraId="0B0E53AE" w14:textId="77777777" w:rsidTr="0023648F">
        <w:trPr>
          <w:gridBefore w:val="1"/>
          <w:wBefore w:w="34" w:type="dxa"/>
        </w:trPr>
        <w:tc>
          <w:tcPr>
            <w:tcW w:w="963" w:type="dxa"/>
          </w:tcPr>
          <w:p w14:paraId="3AF765BE"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6.     </w:t>
            </w:r>
          </w:p>
        </w:tc>
        <w:tc>
          <w:tcPr>
            <w:tcW w:w="6091" w:type="dxa"/>
          </w:tcPr>
          <w:p w14:paraId="4006EBD0"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With the concurrence of at least four of its members, the Tribunal may from time to time make and vary rules governing its own procedures and the conduct of its enquiries including the joining of parties.</w:t>
            </w:r>
          </w:p>
        </w:tc>
        <w:tc>
          <w:tcPr>
            <w:tcW w:w="1701" w:type="dxa"/>
          </w:tcPr>
          <w:p w14:paraId="64915078"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Rules for</w:t>
            </w:r>
          </w:p>
          <w:p w14:paraId="35C8F77E" w14:textId="77777777" w:rsidR="00B70E91" w:rsidRDefault="00B70E91" w:rsidP="0023648F">
            <w:pPr>
              <w:tabs>
                <w:tab w:val="left" w:pos="-720"/>
              </w:tabs>
              <w:suppressAutoHyphens/>
              <w:spacing w:before="0" w:after="0"/>
              <w:rPr>
                <w:rFonts w:ascii="Arial Mäori" w:hAnsi="Arial Mäori"/>
                <w:i/>
                <w:spacing w:val="-2"/>
                <w:sz w:val="18"/>
                <w:lang w:val="en-US"/>
              </w:rPr>
            </w:pPr>
            <w:proofErr w:type="gramStart"/>
            <w:r>
              <w:rPr>
                <w:rFonts w:ascii="Arial Mäori" w:hAnsi="Arial Mäori"/>
                <w:i/>
                <w:spacing w:val="-2"/>
                <w:sz w:val="18"/>
                <w:lang w:val="en-US"/>
              </w:rPr>
              <w:t>procedure</w:t>
            </w:r>
            <w:proofErr w:type="gramEnd"/>
            <w:r>
              <w:rPr>
                <w:rFonts w:ascii="Arial Mäori" w:hAnsi="Arial Mäori"/>
                <w:i/>
                <w:spacing w:val="-2"/>
                <w:sz w:val="18"/>
                <w:lang w:val="en-US"/>
              </w:rPr>
              <w:t>.</w:t>
            </w:r>
          </w:p>
          <w:p w14:paraId="79CB65D3" w14:textId="77777777" w:rsidR="00B70E91" w:rsidRDefault="00B70E91" w:rsidP="0023648F">
            <w:pPr>
              <w:spacing w:before="0" w:after="0"/>
              <w:rPr>
                <w:rFonts w:ascii="Arial Mäori" w:hAnsi="Arial Mäori"/>
                <w:b/>
                <w:i/>
                <w:sz w:val="18"/>
                <w:u w:val="single"/>
              </w:rPr>
            </w:pPr>
          </w:p>
        </w:tc>
      </w:tr>
      <w:tr w:rsidR="00B70E91" w14:paraId="77D09252" w14:textId="77777777" w:rsidTr="0023648F">
        <w:trPr>
          <w:gridBefore w:val="1"/>
          <w:wBefore w:w="34" w:type="dxa"/>
        </w:trPr>
        <w:tc>
          <w:tcPr>
            <w:tcW w:w="963" w:type="dxa"/>
          </w:tcPr>
          <w:p w14:paraId="3FACEFC9"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7.   </w:t>
            </w:r>
          </w:p>
        </w:tc>
        <w:tc>
          <w:tcPr>
            <w:tcW w:w="6091" w:type="dxa"/>
          </w:tcPr>
          <w:p w14:paraId="6877C6FC"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The decision of the Tribunal on any inquiry shall be that of the majority of those of its members who have participated in that inquiry provided that no decision on any inquiry shall be of any effect unless it is in writing signed by three or more members of whom at least one shall be an appointee of the Inter Diocesan Conference Co-</w:t>
            </w:r>
            <w:proofErr w:type="spellStart"/>
            <w:r>
              <w:rPr>
                <w:rFonts w:ascii="Arial Mäori" w:hAnsi="Arial Mäori"/>
                <w:spacing w:val="-3"/>
                <w:sz w:val="22"/>
                <w:lang w:val="en-US"/>
              </w:rPr>
              <w:t>ordinating</w:t>
            </w:r>
            <w:proofErr w:type="spellEnd"/>
            <w:r>
              <w:rPr>
                <w:rFonts w:ascii="Arial Mäori" w:hAnsi="Arial Mäori"/>
                <w:spacing w:val="-3"/>
                <w:sz w:val="22"/>
                <w:lang w:val="en-US"/>
              </w:rPr>
              <w:t xml:space="preserve"> Group and at least one shall be an appointee of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cs="Arial"/>
                <w:spacing w:val="-3"/>
                <w:sz w:val="22"/>
                <w:lang w:val="en-US"/>
              </w:rPr>
              <w:t>ā</w:t>
            </w:r>
            <w:r>
              <w:rPr>
                <w:rFonts w:ascii="Arial Mäori" w:hAnsi="Arial Mäori"/>
                <w:spacing w:val="-3"/>
                <w:sz w:val="22"/>
                <w:lang w:val="en-US"/>
              </w:rPr>
              <w:t>iti</w:t>
            </w:r>
            <w:proofErr w:type="spellEnd"/>
            <w:r>
              <w:rPr>
                <w:rFonts w:ascii="Arial Mäori" w:hAnsi="Arial Mäori"/>
                <w:spacing w:val="-3"/>
                <w:sz w:val="22"/>
                <w:lang w:val="en-US"/>
              </w:rPr>
              <w:t>.</w:t>
            </w:r>
          </w:p>
        </w:tc>
        <w:tc>
          <w:tcPr>
            <w:tcW w:w="1701" w:type="dxa"/>
          </w:tcPr>
          <w:p w14:paraId="5619B100"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Decision by</w:t>
            </w:r>
          </w:p>
          <w:p w14:paraId="32A825B7"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majority 1996</w:t>
            </w:r>
          </w:p>
          <w:p w14:paraId="77BBB9B7" w14:textId="77777777" w:rsidR="00B70E91" w:rsidRDefault="00B70E91" w:rsidP="0023648F">
            <w:pPr>
              <w:spacing w:before="0" w:after="0"/>
              <w:rPr>
                <w:rFonts w:ascii="Arial Mäori" w:hAnsi="Arial Mäori"/>
                <w:b/>
                <w:i/>
                <w:sz w:val="18"/>
                <w:u w:val="single"/>
              </w:rPr>
            </w:pPr>
          </w:p>
        </w:tc>
      </w:tr>
      <w:tr w:rsidR="00B70E91" w14:paraId="6ADA9322" w14:textId="77777777" w:rsidTr="0023648F">
        <w:trPr>
          <w:gridBefore w:val="1"/>
          <w:wBefore w:w="34" w:type="dxa"/>
        </w:trPr>
        <w:tc>
          <w:tcPr>
            <w:tcW w:w="963" w:type="dxa"/>
          </w:tcPr>
          <w:p w14:paraId="178A42E9"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8.     </w:t>
            </w:r>
          </w:p>
        </w:tc>
        <w:tc>
          <w:tcPr>
            <w:tcW w:w="6091" w:type="dxa"/>
          </w:tcPr>
          <w:p w14:paraId="2E35A682"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 xml:space="preserve">The travelling and accommodation expenses of the members of the Tribunal incurred in attending meetings and all other expenses incurred by the Tribunal shall be paid by the Treasurer of the General Synod out of a fund to be allocated biennially by the General Synod for that purpose. </w:t>
            </w:r>
          </w:p>
        </w:tc>
        <w:tc>
          <w:tcPr>
            <w:tcW w:w="1701" w:type="dxa"/>
          </w:tcPr>
          <w:p w14:paraId="5B41961A"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Expenses.</w:t>
            </w:r>
          </w:p>
          <w:p w14:paraId="7E284B38" w14:textId="77777777" w:rsidR="00B70E91" w:rsidRDefault="00B70E91" w:rsidP="0023648F">
            <w:pPr>
              <w:spacing w:before="0" w:after="0"/>
              <w:rPr>
                <w:rFonts w:ascii="Arial Mäori" w:hAnsi="Arial Mäori"/>
                <w:b/>
                <w:i/>
                <w:sz w:val="18"/>
                <w:u w:val="single"/>
              </w:rPr>
            </w:pPr>
          </w:p>
        </w:tc>
      </w:tr>
      <w:tr w:rsidR="00B70E91" w14:paraId="22D9414F" w14:textId="77777777" w:rsidTr="0023648F">
        <w:trPr>
          <w:gridBefore w:val="1"/>
          <w:wBefore w:w="34" w:type="dxa"/>
        </w:trPr>
        <w:tc>
          <w:tcPr>
            <w:tcW w:w="963" w:type="dxa"/>
          </w:tcPr>
          <w:p w14:paraId="5E4B7FDA" w14:textId="77777777" w:rsidR="00B70E91" w:rsidRDefault="00B70E91" w:rsidP="0023648F">
            <w:pPr>
              <w:spacing w:before="0" w:after="0"/>
              <w:rPr>
                <w:rFonts w:ascii="Arial Mäori" w:hAnsi="Arial Mäori"/>
                <w:spacing w:val="-3"/>
                <w:sz w:val="22"/>
                <w:lang w:val="en-US"/>
              </w:rPr>
            </w:pPr>
            <w:r>
              <w:rPr>
                <w:rFonts w:ascii="Arial Mäori" w:hAnsi="Arial Mäori"/>
                <w:spacing w:val="-3"/>
                <w:sz w:val="22"/>
                <w:lang w:val="en-US"/>
              </w:rPr>
              <w:t>9.     </w:t>
            </w:r>
          </w:p>
        </w:tc>
        <w:tc>
          <w:tcPr>
            <w:tcW w:w="6091" w:type="dxa"/>
          </w:tcPr>
          <w:p w14:paraId="1174BBD2" w14:textId="77777777" w:rsidR="00B70E91" w:rsidRDefault="00B70E91"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 xml:space="preserve">The Tribunal shall cause to be laid before each Ordinary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and of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Runanganui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w:t>
            </w:r>
            <w:r>
              <w:rPr>
                <w:rFonts w:cs="Arial"/>
                <w:spacing w:val="-3"/>
                <w:sz w:val="22"/>
                <w:lang w:val="en-US"/>
              </w:rPr>
              <w:t>ī</w:t>
            </w:r>
            <w:r>
              <w:rPr>
                <w:rFonts w:ascii="Arial Mäori" w:hAnsi="Arial Mäori"/>
                <w:spacing w:val="-3"/>
                <w:sz w:val="22"/>
                <w:lang w:val="en-US"/>
              </w:rPr>
              <w:t>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a report on the business it has considered and its decisions reached.</w:t>
            </w:r>
          </w:p>
        </w:tc>
        <w:tc>
          <w:tcPr>
            <w:tcW w:w="1701" w:type="dxa"/>
          </w:tcPr>
          <w:p w14:paraId="465610CD" w14:textId="77777777" w:rsidR="00B70E91" w:rsidRDefault="00B70E91" w:rsidP="0023648F">
            <w:pPr>
              <w:tabs>
                <w:tab w:val="left" w:pos="-720"/>
              </w:tabs>
              <w:suppressAutoHyphens/>
              <w:spacing w:before="0" w:after="0"/>
              <w:rPr>
                <w:rFonts w:ascii="Arial Mäori" w:hAnsi="Arial Mäori"/>
                <w:i/>
                <w:spacing w:val="-2"/>
                <w:sz w:val="18"/>
                <w:lang w:val="en-US"/>
              </w:rPr>
            </w:pPr>
            <w:r>
              <w:rPr>
                <w:rFonts w:ascii="Arial Mäori" w:hAnsi="Arial Mäori"/>
                <w:i/>
                <w:spacing w:val="-2"/>
                <w:sz w:val="18"/>
                <w:lang w:val="en-US"/>
              </w:rPr>
              <w:t>Reports.</w:t>
            </w:r>
          </w:p>
          <w:p w14:paraId="6ECF5413" w14:textId="77777777" w:rsidR="00B70E91" w:rsidRDefault="00B70E91" w:rsidP="0023648F">
            <w:pPr>
              <w:tabs>
                <w:tab w:val="left" w:pos="-720"/>
              </w:tabs>
              <w:suppressAutoHyphens/>
              <w:spacing w:before="0" w:after="0"/>
              <w:rPr>
                <w:rFonts w:ascii="Arial Mäori" w:hAnsi="Arial Mäori"/>
                <w:i/>
                <w:spacing w:val="-2"/>
                <w:sz w:val="18"/>
                <w:lang w:val="en-US"/>
              </w:rPr>
            </w:pPr>
          </w:p>
        </w:tc>
      </w:tr>
    </w:tbl>
    <w:p w14:paraId="03AB3677" w14:textId="77777777" w:rsidR="00C25F33" w:rsidRDefault="00C25F33"/>
    <w:sectPr w:rsidR="00C25F3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417DE" w14:textId="77777777" w:rsidR="00B70E91" w:rsidRDefault="00B70E91" w:rsidP="00B70E91">
      <w:pPr>
        <w:spacing w:before="0" w:after="0"/>
      </w:pPr>
      <w:r>
        <w:separator/>
      </w:r>
    </w:p>
  </w:endnote>
  <w:endnote w:type="continuationSeparator" w:id="0">
    <w:p w14:paraId="1D7AA017" w14:textId="77777777" w:rsidR="00B70E91" w:rsidRDefault="00B70E91" w:rsidP="00B70E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976E" w14:textId="77777777" w:rsidR="00B70E91" w:rsidRPr="00B70E91" w:rsidRDefault="00B70E91" w:rsidP="005B71F9">
    <w:pPr>
      <w:pStyle w:val="Footer"/>
      <w:numPr>
        <w:ilvl w:val="0"/>
        <w:numId w:val="2"/>
      </w:numPr>
      <w:tabs>
        <w:tab w:val="clear" w:pos="4513"/>
      </w:tabs>
      <w:ind w:left="4678" w:hanging="193"/>
      <w:rPr>
        <w:rFonts w:ascii="Times New Roman" w:hAnsi="Times New Roman"/>
      </w:rPr>
    </w:pPr>
    <w:r>
      <w:rPr>
        <w:rFonts w:ascii="Times New Roman" w:hAnsi="Times New Roman"/>
      </w:rPr>
      <w:t>F. 18 -</w:t>
    </w:r>
    <w:r>
      <w:rPr>
        <w:rFonts w:ascii="Times New Roman" w:hAnsi="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4E47" w14:textId="77777777" w:rsidR="00B70E91" w:rsidRDefault="00B70E91" w:rsidP="00B70E91">
      <w:pPr>
        <w:spacing w:before="0" w:after="0"/>
      </w:pPr>
      <w:r>
        <w:separator/>
      </w:r>
    </w:p>
  </w:footnote>
  <w:footnote w:type="continuationSeparator" w:id="0">
    <w:p w14:paraId="55054D7D" w14:textId="77777777" w:rsidR="00B70E91" w:rsidRDefault="00B70E91" w:rsidP="00B70E9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93FF" w14:textId="77777777" w:rsidR="00B70E91" w:rsidRPr="00B70E91" w:rsidRDefault="00B70E91" w:rsidP="00B70E91">
    <w:pPr>
      <w:pStyle w:val="Header"/>
      <w:tabs>
        <w:tab w:val="clear" w:pos="9026"/>
        <w:tab w:val="left" w:pos="5670"/>
        <w:tab w:val="right" w:pos="8647"/>
      </w:tabs>
      <w:rPr>
        <w:b/>
        <w:sz w:val="22"/>
        <w:szCs w:val="22"/>
      </w:rPr>
    </w:pPr>
    <w:r>
      <w:rPr>
        <w:b/>
        <w:sz w:val="22"/>
        <w:szCs w:val="22"/>
      </w:rPr>
      <w:tab/>
    </w:r>
    <w:r>
      <w:rPr>
        <w:b/>
        <w:sz w:val="22"/>
        <w:szCs w:val="22"/>
      </w:rPr>
      <w:tab/>
      <w:t>CANON VII</w:t>
    </w:r>
    <w:r>
      <w:rPr>
        <w:b/>
        <w:sz w:val="22"/>
        <w:szCs w:val="22"/>
      </w:rPr>
      <w:tab/>
      <w:t>TITLE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0E5C"/>
    <w:multiLevelType w:val="hybridMultilevel"/>
    <w:tmpl w:val="3AC62A32"/>
    <w:lvl w:ilvl="0" w:tplc="2D06C326">
      <w:start w:val="1"/>
      <w:numFmt w:val="bullet"/>
      <w:lvlText w:val="-"/>
      <w:lvlJc w:val="left"/>
      <w:pPr>
        <w:ind w:left="4845" w:hanging="360"/>
      </w:pPr>
      <w:rPr>
        <w:rFonts w:ascii="Arial" w:eastAsia="Times New Roman" w:hAnsi="Arial" w:cs="Arial"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nsid w:val="28D1247A"/>
    <w:multiLevelType w:val="hybridMultilevel"/>
    <w:tmpl w:val="3E00DF70"/>
    <w:lvl w:ilvl="0" w:tplc="480682D8">
      <w:start w:val="1"/>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91"/>
    <w:rsid w:val="005B71F9"/>
    <w:rsid w:val="005C2390"/>
    <w:rsid w:val="00B70E91"/>
    <w:rsid w:val="00C25F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FA4F"/>
  <w15:chartTrackingRefBased/>
  <w15:docId w15:val="{2C84E9F0-D2C5-4E9C-8433-DDFF1147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91"/>
    <w:pPr>
      <w:spacing w:before="120" w:after="120" w:line="240" w:lineRule="auto"/>
      <w:jc w:val="both"/>
    </w:pPr>
    <w:rPr>
      <w:rFonts w:ascii="Arial" w:eastAsia="Times New Roman" w:hAnsi="Arial" w:cs="Times New Roman"/>
      <w:sz w:val="20"/>
      <w:szCs w:val="20"/>
      <w:lang w:val="en-AU"/>
    </w:rPr>
  </w:style>
  <w:style w:type="paragraph" w:styleId="Heading5">
    <w:name w:val="heading 5"/>
    <w:basedOn w:val="Normal"/>
    <w:next w:val="Normal"/>
    <w:link w:val="Heading5Char"/>
    <w:qFormat/>
    <w:rsid w:val="00B70E91"/>
    <w:pPr>
      <w:keepNext/>
      <w:tabs>
        <w:tab w:val="left" w:pos="-720"/>
      </w:tabs>
      <w:suppressAutoHyphens/>
      <w:spacing w:before="0"/>
      <w:jc w:val="center"/>
      <w:outlineLvl w:val="4"/>
    </w:pPr>
    <w:rPr>
      <w:rFonts w:ascii="Arial Mäori" w:hAnsi="Arial Mäori"/>
      <w:b/>
      <w:bCs/>
      <w:sz w:val="22"/>
      <w:lang w:val="en-US"/>
    </w:rPr>
  </w:style>
  <w:style w:type="paragraph" w:styleId="Heading7">
    <w:name w:val="heading 7"/>
    <w:basedOn w:val="Normal"/>
    <w:next w:val="Normal"/>
    <w:link w:val="Heading7Char"/>
    <w:qFormat/>
    <w:rsid w:val="00B70E91"/>
    <w:pPr>
      <w:keepNext/>
      <w:tabs>
        <w:tab w:val="left" w:pos="-720"/>
      </w:tabs>
      <w:suppressAutoHyphens/>
      <w:spacing w:before="0"/>
      <w:jc w:val="center"/>
      <w:outlineLvl w:val="6"/>
    </w:pPr>
    <w:rPr>
      <w:rFonts w:ascii="Arial Mäori" w:hAnsi="Arial Mäor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70E91"/>
    <w:rPr>
      <w:rFonts w:ascii="Arial Mäori" w:eastAsia="Times New Roman" w:hAnsi="Arial Mäori" w:cs="Times New Roman"/>
      <w:b/>
      <w:bCs/>
      <w:szCs w:val="20"/>
      <w:lang w:val="en-US"/>
    </w:rPr>
  </w:style>
  <w:style w:type="character" w:customStyle="1" w:styleId="Heading7Char">
    <w:name w:val="Heading 7 Char"/>
    <w:basedOn w:val="DefaultParagraphFont"/>
    <w:link w:val="Heading7"/>
    <w:rsid w:val="00B70E91"/>
    <w:rPr>
      <w:rFonts w:ascii="Arial Mäori" w:eastAsia="Times New Roman" w:hAnsi="Arial Mäori" w:cs="Times New Roman"/>
      <w:b/>
      <w:bCs/>
      <w:sz w:val="24"/>
      <w:szCs w:val="20"/>
      <w:lang w:val="en-US"/>
    </w:rPr>
  </w:style>
  <w:style w:type="paragraph" w:styleId="Header">
    <w:name w:val="header"/>
    <w:basedOn w:val="Normal"/>
    <w:link w:val="HeaderChar"/>
    <w:uiPriority w:val="99"/>
    <w:unhideWhenUsed/>
    <w:rsid w:val="00B70E91"/>
    <w:pPr>
      <w:tabs>
        <w:tab w:val="center" w:pos="4513"/>
        <w:tab w:val="right" w:pos="9026"/>
      </w:tabs>
      <w:spacing w:before="0" w:after="0"/>
    </w:pPr>
  </w:style>
  <w:style w:type="character" w:customStyle="1" w:styleId="HeaderChar">
    <w:name w:val="Header Char"/>
    <w:basedOn w:val="DefaultParagraphFont"/>
    <w:link w:val="Header"/>
    <w:uiPriority w:val="99"/>
    <w:rsid w:val="00B70E91"/>
    <w:rPr>
      <w:rFonts w:ascii="Arial" w:eastAsia="Times New Roman" w:hAnsi="Arial" w:cs="Times New Roman"/>
      <w:sz w:val="20"/>
      <w:szCs w:val="20"/>
      <w:lang w:val="en-AU"/>
    </w:rPr>
  </w:style>
  <w:style w:type="paragraph" w:styleId="Footer">
    <w:name w:val="footer"/>
    <w:basedOn w:val="Normal"/>
    <w:link w:val="FooterChar"/>
    <w:uiPriority w:val="99"/>
    <w:unhideWhenUsed/>
    <w:rsid w:val="00B70E91"/>
    <w:pPr>
      <w:tabs>
        <w:tab w:val="center" w:pos="4513"/>
        <w:tab w:val="right" w:pos="9026"/>
      </w:tabs>
      <w:spacing w:before="0" w:after="0"/>
    </w:pPr>
  </w:style>
  <w:style w:type="character" w:customStyle="1" w:styleId="FooterChar">
    <w:name w:val="Footer Char"/>
    <w:basedOn w:val="DefaultParagraphFont"/>
    <w:link w:val="Footer"/>
    <w:uiPriority w:val="99"/>
    <w:rsid w:val="00B70E91"/>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0689B-879B-4CD9-920D-0AB42D5796AA}">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4fb0e633-e10e-4f72-bd97-71b29ba6a154"/>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6D3EC9A-24AB-4734-AF33-4B51474DE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1926B-C128-4FA1-9875-29462F7F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2014-05-01T22:49:00Z</dcterms:created>
  <dcterms:modified xsi:type="dcterms:W3CDTF">2014-05-01T22:49:00Z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